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454" w:rsidRDefault="00B64DA1">
      <w:pPr>
        <w:pBdr>
          <w:bottom w:val="single" w:sz="4" w:space="1" w:color="000000"/>
        </w:pBdr>
        <w:jc w:val="center"/>
      </w:pPr>
      <w:r>
        <w:rPr>
          <w:noProof/>
          <w:lang w:val="de-DE" w:eastAsia="de-DE"/>
        </w:rPr>
        <w:drawing>
          <wp:anchor distT="0" distB="6350" distL="114300" distR="115570" simplePos="0" relativeHeight="2" behindDoc="0" locked="0" layoutInCell="1" allowOverlap="1">
            <wp:simplePos x="0" y="0"/>
            <wp:positionH relativeFrom="margin">
              <wp:align>center</wp:align>
            </wp:positionH>
            <wp:positionV relativeFrom="paragraph">
              <wp:posOffset>-681990</wp:posOffset>
            </wp:positionV>
            <wp:extent cx="1579880" cy="622300"/>
            <wp:effectExtent l="0" t="0" r="0" b="0"/>
            <wp:wrapNone/>
            <wp:docPr id="1" name="Grafik 1" descr="https://lh6.googleusercontent.com/8bbu0qtaEXdNT04jfmxYROEQa5gFhtP2O-6kPDP1gvsib2Quiw5hGB7Xg7t2DVN7CR8KpQALTSJHrWDRediBBJGmd8vCUV5xKGZ6gfXLWgGDaVx42nPj7d4MbgNNndohoJ5UEqgcNttO2EV1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https://lh6.googleusercontent.com/8bbu0qtaEXdNT04jfmxYROEQa5gFhtP2O-6kPDP1gvsib2Quiw5hGB7Xg7t2DVN7CR8KpQALTSJHrWDRediBBJGmd8vCUV5xKGZ6gfXLWgGDaVx42nPj7d4MbgNNndohoJ5UEqgcNttO2EV1Og"/>
                    <pic:cNvPicPr>
                      <a:picLocks noChangeAspect="1" noChangeArrowheads="1"/>
                    </pic:cNvPicPr>
                  </pic:nvPicPr>
                  <pic:blipFill>
                    <a:blip r:embed="rId9"/>
                    <a:stretch>
                      <a:fillRect/>
                    </a:stretch>
                  </pic:blipFill>
                  <pic:spPr bwMode="auto">
                    <a:xfrm>
                      <a:off x="0" y="0"/>
                      <a:ext cx="1579880" cy="622300"/>
                    </a:xfrm>
                    <a:prstGeom prst="rect">
                      <a:avLst/>
                    </a:prstGeom>
                  </pic:spPr>
                </pic:pic>
              </a:graphicData>
            </a:graphic>
          </wp:anchor>
        </w:drawing>
      </w:r>
      <w:r>
        <w:rPr>
          <w:b/>
          <w:bCs/>
          <w:color w:val="1F3763" w:themeColor="accent1" w:themeShade="7F"/>
          <w:sz w:val="28"/>
          <w:szCs w:val="28"/>
        </w:rPr>
        <w:t>Call for Partners | ERASMUS+ Project |</w:t>
      </w:r>
    </w:p>
    <w:tbl>
      <w:tblPr>
        <w:tblStyle w:val="Tabellenraster"/>
        <w:tblW w:w="11199" w:type="dxa"/>
        <w:tblInd w:w="-147" w:type="dxa"/>
        <w:tblLook w:val="06A0" w:firstRow="1" w:lastRow="0" w:firstColumn="1" w:lastColumn="0" w:noHBand="1" w:noVBand="1"/>
      </w:tblPr>
      <w:tblGrid>
        <w:gridCol w:w="1843"/>
        <w:gridCol w:w="9356"/>
      </w:tblGrid>
      <w:tr w:rsidR="00FF0454">
        <w:tc>
          <w:tcPr>
            <w:tcW w:w="11198" w:type="dxa"/>
            <w:gridSpan w:val="2"/>
            <w:shd w:val="clear" w:color="auto" w:fill="E7E6E6" w:themeFill="background2"/>
          </w:tcPr>
          <w:p w:rsidR="00FF0454" w:rsidRDefault="00B64DA1">
            <w:pPr>
              <w:spacing w:after="0" w:line="240" w:lineRule="auto"/>
              <w:jc w:val="center"/>
            </w:pPr>
            <w:r>
              <w:rPr>
                <w:b/>
                <w:bCs/>
                <w:sz w:val="24"/>
                <w:lang w:val="en-GB"/>
              </w:rPr>
              <w:t>Overview about the Project Idea</w:t>
            </w:r>
          </w:p>
        </w:tc>
      </w:tr>
      <w:tr w:rsidR="00FF0454">
        <w:tc>
          <w:tcPr>
            <w:tcW w:w="1843" w:type="dxa"/>
            <w:shd w:val="clear" w:color="auto" w:fill="auto"/>
          </w:tcPr>
          <w:p w:rsidR="00FF0454" w:rsidRDefault="00B64DA1">
            <w:pPr>
              <w:spacing w:after="0" w:line="240" w:lineRule="auto"/>
            </w:pPr>
            <w:r>
              <w:rPr>
                <w:b/>
                <w:bCs/>
                <w:color w:val="4F81BD"/>
                <w:lang w:val="en-GB"/>
              </w:rPr>
              <w:t>Provisional Title</w:t>
            </w:r>
            <w:r>
              <w:rPr>
                <w:b/>
                <w:bCs/>
                <w:lang w:val="en-GB"/>
              </w:rPr>
              <w:t>:</w:t>
            </w:r>
            <w:r>
              <w:rPr>
                <w:lang w:val="en-GB"/>
              </w:rPr>
              <w:t xml:space="preserve"> </w:t>
            </w:r>
          </w:p>
        </w:tc>
        <w:tc>
          <w:tcPr>
            <w:tcW w:w="9355" w:type="dxa"/>
            <w:shd w:val="clear" w:color="auto" w:fill="auto"/>
          </w:tcPr>
          <w:p w:rsidR="00FF0454" w:rsidRDefault="00B64DA1">
            <w:pPr>
              <w:spacing w:after="0" w:line="240" w:lineRule="auto"/>
            </w:pPr>
            <w:r>
              <w:t>“Youth4Remembr</w:t>
            </w:r>
            <w:r w:rsidR="002A150B">
              <w:t xml:space="preserve">ance – Sharing tools how </w:t>
            </w:r>
            <w:r w:rsidR="00D37479">
              <w:t>to encourage</w:t>
            </w:r>
            <w:r w:rsidR="002A150B">
              <w:t xml:space="preserve"> </w:t>
            </w:r>
            <w:r>
              <w:t xml:space="preserve">millennials </w:t>
            </w:r>
            <w:r w:rsidR="00D37479">
              <w:t xml:space="preserve">to </w:t>
            </w:r>
            <w:r>
              <w:t>critically reflect on European history”</w:t>
            </w:r>
          </w:p>
        </w:tc>
      </w:tr>
      <w:tr w:rsidR="00FF0454">
        <w:tc>
          <w:tcPr>
            <w:tcW w:w="1843" w:type="dxa"/>
            <w:shd w:val="clear" w:color="auto" w:fill="auto"/>
          </w:tcPr>
          <w:p w:rsidR="00FF0454" w:rsidRDefault="00B64DA1">
            <w:pPr>
              <w:spacing w:after="0" w:line="240" w:lineRule="auto"/>
            </w:pPr>
            <w:r>
              <w:rPr>
                <w:b/>
                <w:bCs/>
                <w:color w:val="4F81BD"/>
                <w:lang w:val="en-GB"/>
              </w:rPr>
              <w:t>Background:</w:t>
            </w:r>
          </w:p>
        </w:tc>
        <w:tc>
          <w:tcPr>
            <w:tcW w:w="9355" w:type="dxa"/>
            <w:shd w:val="clear" w:color="auto" w:fill="auto"/>
          </w:tcPr>
          <w:p w:rsidR="00FF0454" w:rsidRDefault="00B64DA1">
            <w:pPr>
              <w:spacing w:after="120"/>
              <w:jc w:val="both"/>
            </w:pPr>
            <w:r>
              <w:rPr>
                <w:rFonts w:ascii="Arial" w:eastAsia="Arial" w:hAnsi="Arial" w:cs="Arial"/>
                <w:sz w:val="20"/>
                <w:szCs w:val="20"/>
                <w:lang w:val="en-GB"/>
              </w:rPr>
              <w:t>In times of right-wing populism and neo</w:t>
            </w:r>
            <w:r w:rsidR="002A150B">
              <w:rPr>
                <w:rFonts w:ascii="Arial" w:eastAsia="Arial" w:hAnsi="Arial" w:cs="Arial"/>
                <w:sz w:val="20"/>
                <w:szCs w:val="20"/>
                <w:lang w:val="en-GB"/>
              </w:rPr>
              <w:t>-</w:t>
            </w:r>
            <w:r>
              <w:rPr>
                <w:rFonts w:ascii="Arial" w:eastAsia="Arial" w:hAnsi="Arial" w:cs="Arial"/>
                <w:sz w:val="20"/>
                <w:szCs w:val="20"/>
                <w:lang w:val="en-GB"/>
              </w:rPr>
              <w:t>fascism rising to the political mainstream in Europe, it is important to remember our past and to learn from the mistakes our ancestors have done. We need to remember war, racism, colonialism and authoritarian regimes in our own past in order to recognize that they should forever stay and become concepts of the past rather than the present and future. However, the generations that have witnessed for example National Socialism, Colonialism and the wars of the past are slowly disappearing. This means that young people themselves nowadays need to find new approaches of doing remembrance. And peace and remembrance organisations need to find new approaches of reaching young people</w:t>
            </w:r>
            <w:r w:rsidR="008210BE">
              <w:rPr>
                <w:rFonts w:ascii="Arial" w:eastAsia="Arial" w:hAnsi="Arial" w:cs="Arial"/>
                <w:sz w:val="20"/>
                <w:szCs w:val="20"/>
                <w:lang w:val="en-GB"/>
              </w:rPr>
              <w:t>, in order to promote this</w:t>
            </w:r>
            <w:proofErr w:type="gramStart"/>
            <w:r w:rsidR="008210BE">
              <w:rPr>
                <w:rFonts w:ascii="Arial" w:eastAsia="Arial" w:hAnsi="Arial" w:cs="Arial"/>
                <w:sz w:val="20"/>
                <w:szCs w:val="20"/>
                <w:lang w:val="en-GB"/>
              </w:rPr>
              <w:t>.</w:t>
            </w:r>
            <w:r>
              <w:rPr>
                <w:rFonts w:ascii="Arial" w:eastAsia="Arial" w:hAnsi="Arial" w:cs="Arial"/>
                <w:sz w:val="20"/>
                <w:szCs w:val="20"/>
                <w:lang w:val="en-GB"/>
              </w:rPr>
              <w:t>.</w:t>
            </w:r>
            <w:proofErr w:type="gramEnd"/>
          </w:p>
        </w:tc>
      </w:tr>
      <w:tr w:rsidR="00FF0454">
        <w:tc>
          <w:tcPr>
            <w:tcW w:w="1843" w:type="dxa"/>
            <w:shd w:val="clear" w:color="auto" w:fill="auto"/>
          </w:tcPr>
          <w:p w:rsidR="00FF0454" w:rsidRDefault="00B64DA1">
            <w:pPr>
              <w:spacing w:after="0" w:line="240" w:lineRule="auto"/>
            </w:pPr>
            <w:r>
              <w:rPr>
                <w:b/>
                <w:bCs/>
                <w:color w:val="4F81BD"/>
                <w:lang w:val="en-GB"/>
              </w:rPr>
              <w:t>Aims:</w:t>
            </w:r>
          </w:p>
        </w:tc>
        <w:tc>
          <w:tcPr>
            <w:tcW w:w="9355" w:type="dxa"/>
            <w:shd w:val="clear" w:color="auto" w:fill="auto"/>
          </w:tcPr>
          <w:p w:rsidR="00FF0454" w:rsidRDefault="00B64DA1">
            <w:pPr>
              <w:spacing w:after="0"/>
              <w:jc w:val="both"/>
            </w:pPr>
            <w:r>
              <w:rPr>
                <w:rFonts w:ascii="Arial" w:eastAsia="Arial" w:hAnsi="Arial" w:cs="Arial"/>
                <w:sz w:val="20"/>
                <w:szCs w:val="20"/>
                <w:lang w:val="en-GB"/>
              </w:rPr>
              <w:t>With this method-focused and hands-on seminar, we aim to:</w:t>
            </w:r>
          </w:p>
          <w:p w:rsidR="00FF0454" w:rsidRDefault="00B64DA1">
            <w:pPr>
              <w:numPr>
                <w:ilvl w:val="0"/>
                <w:numId w:val="4"/>
              </w:numPr>
              <w:spacing w:after="0"/>
              <w:jc w:val="both"/>
            </w:pPr>
            <w:r>
              <w:rPr>
                <w:rFonts w:ascii="Arial" w:eastAsia="Arial" w:hAnsi="Arial" w:cs="Arial"/>
                <w:sz w:val="20"/>
                <w:szCs w:val="20"/>
                <w:lang w:val="en-GB"/>
              </w:rPr>
              <w:t xml:space="preserve">Share non-formation education methods, best practices and awareness-raising methods for </w:t>
            </w:r>
          </w:p>
          <w:p w:rsidR="00FF0454" w:rsidRDefault="00B64DA1">
            <w:pPr>
              <w:numPr>
                <w:ilvl w:val="1"/>
                <w:numId w:val="4"/>
              </w:numPr>
              <w:spacing w:after="0"/>
              <w:jc w:val="both"/>
            </w:pPr>
            <w:r>
              <w:rPr>
                <w:rFonts w:ascii="Arial" w:eastAsia="Arial" w:hAnsi="Arial" w:cs="Arial"/>
                <w:sz w:val="20"/>
                <w:szCs w:val="20"/>
                <w:lang w:val="en-GB"/>
              </w:rPr>
              <w:t>making young people interested in remembrance</w:t>
            </w:r>
          </w:p>
          <w:p w:rsidR="00FF0454" w:rsidRDefault="00B64DA1">
            <w:pPr>
              <w:numPr>
                <w:ilvl w:val="1"/>
                <w:numId w:val="4"/>
              </w:numPr>
              <w:spacing w:after="0"/>
              <w:jc w:val="both"/>
            </w:pPr>
            <w:r>
              <w:rPr>
                <w:rFonts w:ascii="Arial" w:eastAsia="Arial" w:hAnsi="Arial" w:cs="Arial"/>
                <w:sz w:val="20"/>
                <w:szCs w:val="20"/>
                <w:lang w:val="en-GB"/>
              </w:rPr>
              <w:t>developing their skills in critical analysis of history and its connections to the present</w:t>
            </w:r>
          </w:p>
          <w:p w:rsidR="00FF0454" w:rsidRDefault="00B64DA1">
            <w:pPr>
              <w:numPr>
                <w:ilvl w:val="1"/>
                <w:numId w:val="4"/>
              </w:numPr>
              <w:spacing w:after="0"/>
              <w:jc w:val="both"/>
            </w:pPr>
            <w:r>
              <w:rPr>
                <w:rFonts w:ascii="Arial" w:eastAsia="Arial" w:hAnsi="Arial" w:cs="Arial"/>
                <w:sz w:val="20"/>
                <w:szCs w:val="20"/>
                <w:lang w:val="en-GB"/>
              </w:rPr>
              <w:t>enabling them to increase their active citizenship around remembrance</w:t>
            </w:r>
          </w:p>
          <w:p w:rsidR="00FF0454" w:rsidRDefault="00B64DA1">
            <w:pPr>
              <w:numPr>
                <w:ilvl w:val="0"/>
                <w:numId w:val="4"/>
              </w:numPr>
              <w:spacing w:after="0"/>
              <w:jc w:val="both"/>
            </w:pPr>
            <w:r>
              <w:rPr>
                <w:rFonts w:ascii="Arial" w:eastAsia="Arial" w:hAnsi="Arial" w:cs="Arial"/>
                <w:sz w:val="20"/>
                <w:szCs w:val="20"/>
                <w:lang w:val="en-GB"/>
              </w:rPr>
              <w:t>Training peace and remembrance organisations in using online approaches in addition to their offline peace and remembrance work (e.g. by doing Wikipedia projects around remembrance or podcasts)</w:t>
            </w:r>
          </w:p>
          <w:p w:rsidR="00FF0454" w:rsidRDefault="00B64DA1">
            <w:pPr>
              <w:numPr>
                <w:ilvl w:val="0"/>
                <w:numId w:val="4"/>
              </w:numPr>
              <w:spacing w:after="0"/>
              <w:jc w:val="both"/>
            </w:pPr>
            <w:r>
              <w:rPr>
                <w:rFonts w:ascii="Arial" w:eastAsia="Arial" w:hAnsi="Arial" w:cs="Arial"/>
                <w:sz w:val="20"/>
                <w:szCs w:val="20"/>
                <w:lang w:val="en-GB"/>
              </w:rPr>
              <w:t>Training organisations focused on social media in working with remembrance</w:t>
            </w:r>
          </w:p>
        </w:tc>
      </w:tr>
      <w:tr w:rsidR="00FF0454">
        <w:tc>
          <w:tcPr>
            <w:tcW w:w="1843" w:type="dxa"/>
            <w:tcBorders>
              <w:top w:val="nil"/>
            </w:tcBorders>
            <w:shd w:val="clear" w:color="auto" w:fill="auto"/>
          </w:tcPr>
          <w:p w:rsidR="00FF0454" w:rsidRDefault="00B64DA1">
            <w:pPr>
              <w:spacing w:after="0" w:line="240" w:lineRule="auto"/>
              <w:rPr>
                <w:rFonts w:ascii="Calibri" w:eastAsia="Calibri" w:hAnsi="Calibri" w:cs="Vrinda"/>
                <w:b/>
                <w:bCs/>
                <w:color w:val="4F81BD"/>
                <w:lang w:val="en-GB"/>
              </w:rPr>
            </w:pPr>
            <w:r>
              <w:rPr>
                <w:rFonts w:eastAsia="Calibri" w:cs="Vrinda"/>
                <w:b/>
                <w:bCs/>
                <w:color w:val="4F81BD"/>
                <w:lang w:val="en-GB"/>
              </w:rPr>
              <w:t>Outcome:</w:t>
            </w:r>
          </w:p>
        </w:tc>
        <w:tc>
          <w:tcPr>
            <w:tcW w:w="9355" w:type="dxa"/>
            <w:tcBorders>
              <w:top w:val="nil"/>
            </w:tcBorders>
            <w:shd w:val="clear" w:color="auto" w:fill="auto"/>
          </w:tcPr>
          <w:p w:rsidR="00FF0454" w:rsidRDefault="00B64DA1">
            <w:pPr>
              <w:numPr>
                <w:ilvl w:val="0"/>
                <w:numId w:val="5"/>
              </w:numPr>
              <w:spacing w:after="0"/>
              <w:jc w:val="both"/>
            </w:pPr>
            <w:r>
              <w:rPr>
                <w:rFonts w:ascii="Arial" w:eastAsia="Arial" w:hAnsi="Arial" w:cs="Arial"/>
                <w:sz w:val="20"/>
                <w:szCs w:val="20"/>
                <w:lang w:val="en-GB"/>
              </w:rPr>
              <w:t>An online toolkit for organisations working with young people on how to engage them in remembrance, with methods and best practices</w:t>
            </w:r>
          </w:p>
        </w:tc>
      </w:tr>
      <w:tr w:rsidR="00FF0454">
        <w:tc>
          <w:tcPr>
            <w:tcW w:w="1843" w:type="dxa"/>
            <w:shd w:val="clear" w:color="auto" w:fill="auto"/>
          </w:tcPr>
          <w:p w:rsidR="00FF0454" w:rsidRDefault="00B64DA1">
            <w:pPr>
              <w:spacing w:after="0" w:line="240" w:lineRule="auto"/>
              <w:rPr>
                <w:rFonts w:ascii="Calibri" w:eastAsia="Calibri" w:hAnsi="Calibri" w:cs="Vrinda"/>
                <w:b/>
                <w:bCs/>
                <w:color w:val="4F81BD"/>
                <w:lang w:val="en-GB"/>
              </w:rPr>
            </w:pPr>
            <w:r>
              <w:rPr>
                <w:rFonts w:eastAsia="Calibri" w:cs="Vrinda"/>
                <w:b/>
                <w:bCs/>
                <w:color w:val="4F81BD"/>
                <w:lang w:val="en-GB"/>
              </w:rPr>
              <w:t xml:space="preserve">Location: </w:t>
            </w:r>
          </w:p>
        </w:tc>
        <w:tc>
          <w:tcPr>
            <w:tcW w:w="9355" w:type="dxa"/>
            <w:shd w:val="clear" w:color="auto" w:fill="auto"/>
          </w:tcPr>
          <w:p w:rsidR="00FF0454" w:rsidRDefault="00B64DA1">
            <w:pPr>
              <w:spacing w:after="0" w:line="240" w:lineRule="auto"/>
            </w:pPr>
            <w:r>
              <w:rPr>
                <w:rFonts w:ascii="Arial" w:eastAsia="Arial" w:hAnsi="Arial" w:cs="Arial"/>
                <w:sz w:val="20"/>
                <w:szCs w:val="20"/>
                <w:lang w:val="en-GB"/>
              </w:rPr>
              <w:t>Germany</w:t>
            </w:r>
          </w:p>
        </w:tc>
      </w:tr>
      <w:tr w:rsidR="00FF0454">
        <w:tc>
          <w:tcPr>
            <w:tcW w:w="1843" w:type="dxa"/>
            <w:tcBorders>
              <w:top w:val="nil"/>
            </w:tcBorders>
            <w:shd w:val="clear" w:color="auto" w:fill="auto"/>
          </w:tcPr>
          <w:p w:rsidR="00FF0454" w:rsidRDefault="00B64DA1">
            <w:pPr>
              <w:spacing w:after="0" w:line="240" w:lineRule="auto"/>
              <w:rPr>
                <w:rFonts w:ascii="Calibri" w:eastAsia="Calibri" w:hAnsi="Calibri" w:cs="Vrinda"/>
                <w:b/>
                <w:bCs/>
                <w:color w:val="4F81BD"/>
                <w:lang w:val="en-GB"/>
              </w:rPr>
            </w:pPr>
            <w:r>
              <w:rPr>
                <w:rFonts w:eastAsia="Calibri" w:cs="Vrinda"/>
                <w:b/>
                <w:bCs/>
                <w:color w:val="4F81BD"/>
                <w:lang w:val="en-GB"/>
              </w:rPr>
              <w:t>Date:</w:t>
            </w:r>
          </w:p>
        </w:tc>
        <w:tc>
          <w:tcPr>
            <w:tcW w:w="9355" w:type="dxa"/>
            <w:tcBorders>
              <w:top w:val="nil"/>
            </w:tcBorders>
            <w:shd w:val="clear" w:color="auto" w:fill="auto"/>
          </w:tcPr>
          <w:p w:rsidR="00FF0454" w:rsidRDefault="00B64DA1">
            <w:pPr>
              <w:spacing w:after="0" w:line="240" w:lineRule="auto"/>
            </w:pPr>
            <w:r>
              <w:t>November 2019</w:t>
            </w:r>
          </w:p>
        </w:tc>
      </w:tr>
      <w:tr w:rsidR="00FF0454">
        <w:tc>
          <w:tcPr>
            <w:tcW w:w="11198" w:type="dxa"/>
            <w:gridSpan w:val="2"/>
            <w:shd w:val="clear" w:color="auto" w:fill="E7E6E6" w:themeFill="background2"/>
          </w:tcPr>
          <w:p w:rsidR="00FF0454" w:rsidRDefault="00B64DA1">
            <w:pPr>
              <w:spacing w:after="0" w:line="240" w:lineRule="auto"/>
              <w:jc w:val="center"/>
            </w:pPr>
            <w:r>
              <w:rPr>
                <w:b/>
                <w:bCs/>
                <w:sz w:val="24"/>
                <w:lang w:val="en-GB"/>
              </w:rPr>
              <w:t>Information related to the partnership</w:t>
            </w:r>
          </w:p>
        </w:tc>
      </w:tr>
      <w:tr w:rsidR="00FF0454">
        <w:tc>
          <w:tcPr>
            <w:tcW w:w="1843" w:type="dxa"/>
            <w:shd w:val="clear" w:color="auto" w:fill="auto"/>
          </w:tcPr>
          <w:p w:rsidR="00FF0454" w:rsidRDefault="00B64DA1">
            <w:pPr>
              <w:spacing w:after="0" w:line="240" w:lineRule="auto"/>
            </w:pPr>
            <w:r>
              <w:rPr>
                <w:b/>
                <w:bCs/>
                <w:color w:val="4F81BD"/>
                <w:lang w:val="en-GB"/>
              </w:rPr>
              <w:t xml:space="preserve">Deadline </w:t>
            </w:r>
          </w:p>
        </w:tc>
        <w:tc>
          <w:tcPr>
            <w:tcW w:w="9355" w:type="dxa"/>
            <w:shd w:val="clear" w:color="auto" w:fill="auto"/>
          </w:tcPr>
          <w:p w:rsidR="00FF0454" w:rsidRDefault="00D37479">
            <w:pPr>
              <w:spacing w:after="0" w:line="240" w:lineRule="auto"/>
            </w:pPr>
            <w:r>
              <w:rPr>
                <w:rFonts w:ascii="Arial" w:eastAsia="Arial" w:hAnsi="Arial" w:cs="Arial"/>
                <w:b/>
                <w:bCs/>
                <w:sz w:val="20"/>
                <w:szCs w:val="20"/>
                <w:lang w:val="en-GB"/>
              </w:rPr>
              <w:t>Please inform us, if possible, by 07.04.2019</w:t>
            </w:r>
            <w:r>
              <w:rPr>
                <w:rFonts w:ascii="Arial" w:eastAsia="Arial" w:hAnsi="Arial" w:cs="Arial"/>
                <w:sz w:val="20"/>
                <w:szCs w:val="20"/>
                <w:lang w:val="en-GB"/>
              </w:rPr>
              <w:t xml:space="preserve"> – otherwise by </w:t>
            </w:r>
            <w:r w:rsidRPr="00696203">
              <w:rPr>
                <w:rFonts w:ascii="Arial" w:eastAsia="Arial" w:hAnsi="Arial" w:cs="Arial"/>
                <w:b/>
                <w:sz w:val="20"/>
                <w:szCs w:val="20"/>
                <w:lang w:val="en-GB"/>
              </w:rPr>
              <w:t>16.04</w:t>
            </w:r>
            <w:r>
              <w:rPr>
                <w:rFonts w:ascii="Arial" w:eastAsia="Arial" w:hAnsi="Arial" w:cs="Arial"/>
                <w:b/>
                <w:sz w:val="20"/>
                <w:szCs w:val="20"/>
                <w:lang w:val="en-GB"/>
              </w:rPr>
              <w:t xml:space="preserve"> </w:t>
            </w:r>
            <w:r w:rsidRPr="005D5032">
              <w:rPr>
                <w:rFonts w:ascii="Arial" w:eastAsia="Arial" w:hAnsi="Arial" w:cs="Arial"/>
                <w:sz w:val="20"/>
                <w:szCs w:val="20"/>
                <w:lang w:val="en-GB"/>
              </w:rPr>
              <w:t>if you wish to become partner</w:t>
            </w:r>
          </w:p>
        </w:tc>
      </w:tr>
      <w:tr w:rsidR="00FF0454">
        <w:tc>
          <w:tcPr>
            <w:tcW w:w="1843" w:type="dxa"/>
            <w:shd w:val="clear" w:color="auto" w:fill="auto"/>
          </w:tcPr>
          <w:p w:rsidR="00FF0454" w:rsidRDefault="00B64DA1">
            <w:pPr>
              <w:spacing w:after="0" w:line="240" w:lineRule="auto"/>
            </w:pPr>
            <w:r>
              <w:rPr>
                <w:b/>
                <w:bCs/>
                <w:color w:val="4F81BD"/>
                <w:lang w:val="en-GB"/>
              </w:rPr>
              <w:t>Tasks of partners</w:t>
            </w:r>
          </w:p>
        </w:tc>
        <w:tc>
          <w:tcPr>
            <w:tcW w:w="9355" w:type="dxa"/>
            <w:shd w:val="clear" w:color="auto" w:fill="auto"/>
          </w:tcPr>
          <w:p w:rsidR="00FF0454" w:rsidRDefault="00B64DA1">
            <w:pPr>
              <w:spacing w:after="0" w:line="240" w:lineRule="auto"/>
            </w:pPr>
            <w:r>
              <w:rPr>
                <w:rFonts w:ascii="Arial" w:eastAsia="Arial" w:hAnsi="Arial" w:cs="Arial"/>
                <w:sz w:val="20"/>
                <w:szCs w:val="20"/>
                <w:lang w:val="en-GB"/>
              </w:rPr>
              <w:t>Each partner organization should:</w:t>
            </w:r>
          </w:p>
          <w:p w:rsidR="00FF0454" w:rsidRDefault="00B64DA1">
            <w:pPr>
              <w:pStyle w:val="Listenabsatz"/>
              <w:numPr>
                <w:ilvl w:val="0"/>
                <w:numId w:val="1"/>
              </w:numPr>
              <w:spacing w:after="0" w:line="240" w:lineRule="auto"/>
            </w:pPr>
            <w:r>
              <w:rPr>
                <w:rFonts w:ascii="Arial" w:eastAsia="Arial" w:hAnsi="Arial" w:cs="Arial"/>
                <w:sz w:val="20"/>
                <w:szCs w:val="20"/>
                <w:lang w:val="en-GB"/>
              </w:rPr>
              <w:t>Be interested in the topic remembrance and interested in organizing follow-up projects such as workshops, volunteering projects, youth exchanges, edit-a-thons etc.</w:t>
            </w:r>
          </w:p>
          <w:p w:rsidR="00FF0454" w:rsidRDefault="00B64DA1">
            <w:pPr>
              <w:pStyle w:val="Listenabsatz"/>
              <w:numPr>
                <w:ilvl w:val="0"/>
                <w:numId w:val="1"/>
              </w:numPr>
              <w:spacing w:after="0" w:line="240" w:lineRule="auto"/>
            </w:pPr>
            <w:r>
              <w:rPr>
                <w:rFonts w:ascii="Arial" w:eastAsia="Arial" w:hAnsi="Arial" w:cs="Arial"/>
                <w:sz w:val="20"/>
                <w:szCs w:val="20"/>
                <w:lang w:val="en-GB"/>
              </w:rPr>
              <w:t>Send participants who are active in their organizations</w:t>
            </w:r>
          </w:p>
          <w:p w:rsidR="00FF0454" w:rsidRDefault="00B64DA1">
            <w:pPr>
              <w:pStyle w:val="Listenabsatz"/>
              <w:numPr>
                <w:ilvl w:val="0"/>
                <w:numId w:val="1"/>
              </w:numPr>
              <w:spacing w:after="0" w:line="240" w:lineRule="auto"/>
              <w:rPr>
                <w:sz w:val="20"/>
                <w:szCs w:val="20"/>
                <w:lang w:val="en-GB"/>
              </w:rPr>
            </w:pPr>
            <w:r>
              <w:rPr>
                <w:rFonts w:ascii="Arial" w:eastAsia="Arial" w:hAnsi="Arial" w:cs="Arial"/>
                <w:sz w:val="20"/>
                <w:szCs w:val="20"/>
                <w:lang w:val="en-GB"/>
              </w:rPr>
              <w:t>Support the participants and give them space to implement the outcomes of the seminar in the partner organizations</w:t>
            </w:r>
          </w:p>
          <w:p w:rsidR="00FF0454" w:rsidRDefault="00B64DA1">
            <w:pPr>
              <w:pStyle w:val="Listenabsatz"/>
              <w:numPr>
                <w:ilvl w:val="0"/>
                <w:numId w:val="1"/>
              </w:numPr>
              <w:spacing w:after="120" w:line="240" w:lineRule="auto"/>
              <w:ind w:left="714" w:hanging="357"/>
            </w:pPr>
            <w:r>
              <w:rPr>
                <w:rFonts w:ascii="Arial" w:eastAsia="Arial" w:hAnsi="Arial" w:cs="Arial"/>
                <w:sz w:val="20"/>
                <w:szCs w:val="20"/>
                <w:lang w:val="en-GB"/>
              </w:rPr>
              <w:t>Be willing to share and use the toolkit developed during the project</w:t>
            </w:r>
          </w:p>
          <w:p w:rsidR="00FF0454" w:rsidRDefault="00B64DA1">
            <w:pPr>
              <w:spacing w:after="0" w:line="240" w:lineRule="auto"/>
              <w:rPr>
                <w:rFonts w:ascii="Arial" w:eastAsia="Arial" w:hAnsi="Arial" w:cs="Arial"/>
                <w:sz w:val="20"/>
                <w:szCs w:val="20"/>
                <w:lang w:val="en-GB"/>
              </w:rPr>
            </w:pPr>
            <w:proofErr w:type="gramStart"/>
            <w:r>
              <w:rPr>
                <w:rFonts w:ascii="Arial" w:eastAsia="Arial" w:hAnsi="Arial" w:cs="Arial"/>
                <w:b/>
                <w:sz w:val="20"/>
                <w:szCs w:val="20"/>
                <w:lang w:val="en-GB"/>
              </w:rPr>
              <w:t>Participants</w:t>
            </w:r>
            <w:proofErr w:type="gramEnd"/>
            <w:r>
              <w:rPr>
                <w:rFonts w:ascii="Arial" w:eastAsia="Arial" w:hAnsi="Arial" w:cs="Arial"/>
                <w:b/>
                <w:sz w:val="20"/>
                <w:szCs w:val="20"/>
                <w:lang w:val="en-GB"/>
              </w:rPr>
              <w:t xml:space="preserve"> profile</w:t>
            </w:r>
            <w:r>
              <w:rPr>
                <w:rFonts w:ascii="Arial" w:eastAsia="Arial" w:hAnsi="Arial" w:cs="Arial"/>
                <w:sz w:val="20"/>
                <w:szCs w:val="20"/>
                <w:lang w:val="en-GB"/>
              </w:rPr>
              <w:t>: Everyone who joins the project should...</w:t>
            </w:r>
          </w:p>
          <w:p w:rsidR="00FF0454" w:rsidRDefault="00B64DA1">
            <w:pPr>
              <w:pStyle w:val="Listenabsatz"/>
              <w:numPr>
                <w:ilvl w:val="0"/>
                <w:numId w:val="2"/>
              </w:numPr>
              <w:spacing w:after="0" w:line="240" w:lineRule="auto"/>
            </w:pPr>
            <w:r>
              <w:rPr>
                <w:rFonts w:ascii="Arial" w:eastAsia="Arial" w:hAnsi="Arial" w:cs="Arial"/>
                <w:sz w:val="20"/>
                <w:szCs w:val="20"/>
                <w:lang w:val="en-GB"/>
              </w:rPr>
              <w:t>be able to attend for the full duration of the seminar</w:t>
            </w:r>
          </w:p>
          <w:p w:rsidR="00FF0454" w:rsidRDefault="00B64DA1" w:rsidP="008210BE">
            <w:pPr>
              <w:pStyle w:val="Listenabsatz"/>
              <w:numPr>
                <w:ilvl w:val="0"/>
                <w:numId w:val="2"/>
              </w:numPr>
              <w:spacing w:after="0" w:line="240" w:lineRule="auto"/>
            </w:pPr>
            <w:r>
              <w:rPr>
                <w:rFonts w:ascii="Arial" w:eastAsia="Arial" w:hAnsi="Arial" w:cs="Arial"/>
                <w:sz w:val="20"/>
                <w:szCs w:val="20"/>
                <w:lang w:val="en-GB"/>
              </w:rPr>
              <w:t>Ideally be active and be able to influence decisions of their se</w:t>
            </w:r>
            <w:r w:rsidRPr="008210BE">
              <w:rPr>
                <w:rFonts w:ascii="Arial" w:eastAsia="Arial" w:hAnsi="Arial" w:cs="Arial"/>
                <w:sz w:val="20"/>
                <w:szCs w:val="20"/>
                <w:lang w:val="en-GB"/>
              </w:rPr>
              <w:t>nding organisations and have experience in volunteering, peace and/or climate justice</w:t>
            </w:r>
          </w:p>
          <w:p w:rsidR="00FF0454" w:rsidRDefault="00B64DA1">
            <w:pPr>
              <w:pStyle w:val="Listenabsatz"/>
              <w:numPr>
                <w:ilvl w:val="0"/>
                <w:numId w:val="2"/>
              </w:numPr>
              <w:spacing w:after="0" w:line="240" w:lineRule="auto"/>
            </w:pPr>
            <w:r>
              <w:rPr>
                <w:rFonts w:ascii="Arial" w:eastAsia="Arial" w:hAnsi="Arial" w:cs="Arial"/>
                <w:sz w:val="20"/>
                <w:szCs w:val="20"/>
                <w:lang w:val="en-GB"/>
              </w:rPr>
              <w:t>Be willing to commit themselves to spreading their new skills and competences to their sending branch in whatever capacity</w:t>
            </w:r>
          </w:p>
          <w:p w:rsidR="00FF0454" w:rsidRDefault="00B64DA1">
            <w:pPr>
              <w:pStyle w:val="Listenabsatz"/>
              <w:numPr>
                <w:ilvl w:val="0"/>
                <w:numId w:val="2"/>
              </w:numPr>
              <w:spacing w:after="0" w:line="240" w:lineRule="auto"/>
            </w:pPr>
            <w:r>
              <w:rPr>
                <w:rFonts w:ascii="Arial" w:eastAsia="Arial" w:hAnsi="Arial" w:cs="Arial"/>
                <w:sz w:val="20"/>
                <w:szCs w:val="20"/>
                <w:lang w:val="en-GB"/>
              </w:rPr>
              <w:t>Bring ideas for workshops, methods, tools, best practices and approaches to be shared</w:t>
            </w:r>
          </w:p>
        </w:tc>
      </w:tr>
      <w:tr w:rsidR="00FF0454">
        <w:tc>
          <w:tcPr>
            <w:tcW w:w="1843" w:type="dxa"/>
            <w:shd w:val="clear" w:color="auto" w:fill="auto"/>
          </w:tcPr>
          <w:p w:rsidR="00FF0454" w:rsidRDefault="00B64DA1">
            <w:pPr>
              <w:spacing w:after="0" w:line="240" w:lineRule="auto"/>
            </w:pPr>
            <w:r>
              <w:rPr>
                <w:b/>
                <w:bCs/>
                <w:color w:val="4F81BD"/>
                <w:lang w:val="en-GB"/>
              </w:rPr>
              <w:t>Documents to be filled by the partners</w:t>
            </w:r>
          </w:p>
        </w:tc>
        <w:tc>
          <w:tcPr>
            <w:tcW w:w="9355" w:type="dxa"/>
            <w:shd w:val="clear" w:color="auto" w:fill="auto"/>
          </w:tcPr>
          <w:p w:rsidR="00FF0454" w:rsidRDefault="00B64DA1">
            <w:pPr>
              <w:pStyle w:val="Listenabsatz"/>
              <w:numPr>
                <w:ilvl w:val="0"/>
                <w:numId w:val="3"/>
              </w:numPr>
              <w:spacing w:after="0" w:line="240" w:lineRule="auto"/>
              <w:rPr>
                <w:sz w:val="20"/>
                <w:szCs w:val="20"/>
              </w:rPr>
            </w:pPr>
            <w:r>
              <w:rPr>
                <w:rFonts w:ascii="Arial" w:eastAsia="Arial" w:hAnsi="Arial" w:cs="Arial"/>
                <w:sz w:val="20"/>
                <w:szCs w:val="20"/>
                <w:lang w:val="en-GB"/>
              </w:rPr>
              <w:t xml:space="preserve">PIC number </w:t>
            </w:r>
            <w:bookmarkStart w:id="0" w:name="_GoBack"/>
            <w:bookmarkEnd w:id="0"/>
          </w:p>
          <w:p w:rsidR="00FF0454" w:rsidRDefault="00B64DA1">
            <w:pPr>
              <w:pStyle w:val="Listenabsatz"/>
              <w:numPr>
                <w:ilvl w:val="0"/>
                <w:numId w:val="3"/>
              </w:numPr>
              <w:spacing w:after="0" w:line="240" w:lineRule="auto"/>
            </w:pPr>
            <w:r>
              <w:rPr>
                <w:rFonts w:ascii="Arial" w:eastAsia="Arial" w:hAnsi="Arial" w:cs="Arial"/>
                <w:sz w:val="20"/>
                <w:szCs w:val="20"/>
                <w:lang w:val="en-GB"/>
              </w:rPr>
              <w:t>Description of your organisation (Background &amp; Experience with social media as well as remembrance/peace)</w:t>
            </w:r>
          </w:p>
          <w:p w:rsidR="00FF0454" w:rsidRDefault="00B64DA1">
            <w:pPr>
              <w:pStyle w:val="Listenabsatz"/>
              <w:numPr>
                <w:ilvl w:val="0"/>
                <w:numId w:val="3"/>
              </w:numPr>
              <w:spacing w:after="0" w:line="240" w:lineRule="auto"/>
              <w:rPr>
                <w:sz w:val="20"/>
                <w:szCs w:val="20"/>
              </w:rPr>
            </w:pPr>
            <w:r>
              <w:rPr>
                <w:rFonts w:ascii="Arial" w:eastAsia="Arial" w:hAnsi="Arial" w:cs="Arial"/>
                <w:sz w:val="20"/>
                <w:szCs w:val="20"/>
                <w:lang w:val="en-GB"/>
              </w:rPr>
              <w:t xml:space="preserve">Name, Email and Tel </w:t>
            </w:r>
            <w:proofErr w:type="spellStart"/>
            <w:r>
              <w:rPr>
                <w:rFonts w:ascii="Arial" w:eastAsia="Arial" w:hAnsi="Arial" w:cs="Arial"/>
                <w:sz w:val="20"/>
                <w:szCs w:val="20"/>
                <w:lang w:val="en-GB"/>
              </w:rPr>
              <w:t>Nr</w:t>
            </w:r>
            <w:proofErr w:type="spellEnd"/>
            <w:r>
              <w:rPr>
                <w:rFonts w:ascii="Arial" w:eastAsia="Arial" w:hAnsi="Arial" w:cs="Arial"/>
                <w:sz w:val="20"/>
                <w:szCs w:val="20"/>
                <w:lang w:val="en-GB"/>
              </w:rPr>
              <w:t xml:space="preserve">. of both your legal representative </w:t>
            </w:r>
            <w:r>
              <w:rPr>
                <w:rFonts w:ascii="Arial" w:eastAsia="Arial" w:hAnsi="Arial" w:cs="Arial"/>
                <w:sz w:val="20"/>
                <w:szCs w:val="20"/>
                <w:u w:val="single"/>
                <w:lang w:val="en-GB"/>
              </w:rPr>
              <w:t>and</w:t>
            </w:r>
            <w:r>
              <w:rPr>
                <w:rFonts w:ascii="Arial" w:eastAsia="Arial" w:hAnsi="Arial" w:cs="Arial"/>
                <w:sz w:val="20"/>
                <w:szCs w:val="20"/>
                <w:lang w:val="en-GB"/>
              </w:rPr>
              <w:t xml:space="preserve"> contact person</w:t>
            </w:r>
          </w:p>
          <w:p w:rsidR="00FF0454" w:rsidRDefault="00B64DA1">
            <w:pPr>
              <w:pStyle w:val="Listenabsatz"/>
              <w:numPr>
                <w:ilvl w:val="0"/>
                <w:numId w:val="3"/>
              </w:numPr>
              <w:spacing w:after="0" w:line="240" w:lineRule="auto"/>
              <w:rPr>
                <w:sz w:val="20"/>
                <w:szCs w:val="20"/>
              </w:rPr>
            </w:pPr>
            <w:r>
              <w:rPr>
                <w:rFonts w:ascii="Arial" w:eastAsia="Arial" w:hAnsi="Arial" w:cs="Arial"/>
                <w:sz w:val="20"/>
                <w:szCs w:val="20"/>
                <w:lang w:val="en-GB"/>
              </w:rPr>
              <w:t xml:space="preserve">The </w:t>
            </w:r>
            <w:r>
              <w:rPr>
                <w:rFonts w:ascii="Arial" w:eastAsia="Arial" w:hAnsi="Arial" w:cs="Arial"/>
                <w:b/>
                <w:bCs/>
                <w:sz w:val="20"/>
                <w:szCs w:val="20"/>
                <w:lang w:val="en-GB"/>
              </w:rPr>
              <w:t>signed</w:t>
            </w:r>
            <w:r>
              <w:rPr>
                <w:rFonts w:ascii="Arial" w:eastAsia="Arial" w:hAnsi="Arial" w:cs="Arial"/>
                <w:sz w:val="20"/>
                <w:szCs w:val="20"/>
                <w:lang w:val="en-GB"/>
              </w:rPr>
              <w:t xml:space="preserve"> and </w:t>
            </w:r>
            <w:r>
              <w:rPr>
                <w:rFonts w:ascii="Arial" w:eastAsia="Arial" w:hAnsi="Arial" w:cs="Arial"/>
                <w:b/>
                <w:bCs/>
                <w:sz w:val="20"/>
                <w:szCs w:val="20"/>
                <w:lang w:val="en-GB"/>
              </w:rPr>
              <w:t>dated</w:t>
            </w:r>
            <w:r>
              <w:rPr>
                <w:rFonts w:ascii="Arial" w:eastAsia="Arial" w:hAnsi="Arial" w:cs="Arial"/>
                <w:sz w:val="20"/>
                <w:szCs w:val="20"/>
                <w:lang w:val="en-GB"/>
              </w:rPr>
              <w:t xml:space="preserve"> mandate</w:t>
            </w:r>
            <w:r w:rsidR="008210BE">
              <w:rPr>
                <w:rFonts w:ascii="Arial" w:eastAsia="Arial" w:hAnsi="Arial" w:cs="Arial"/>
                <w:sz w:val="20"/>
                <w:szCs w:val="20"/>
                <w:lang w:val="en-GB"/>
              </w:rPr>
              <w:t xml:space="preserve"> – see contact person down at the bottom</w:t>
            </w:r>
          </w:p>
        </w:tc>
      </w:tr>
      <w:tr w:rsidR="00FF0454">
        <w:tc>
          <w:tcPr>
            <w:tcW w:w="1843" w:type="dxa"/>
            <w:shd w:val="clear" w:color="auto" w:fill="auto"/>
          </w:tcPr>
          <w:p w:rsidR="00FF0454" w:rsidRDefault="00B64DA1">
            <w:pPr>
              <w:spacing w:after="0" w:line="240" w:lineRule="auto"/>
            </w:pPr>
            <w:r>
              <w:rPr>
                <w:b/>
                <w:bCs/>
                <w:color w:val="4F81BD"/>
                <w:lang w:val="en-GB"/>
              </w:rPr>
              <w:t>Financial conditions for participants</w:t>
            </w:r>
          </w:p>
        </w:tc>
        <w:tc>
          <w:tcPr>
            <w:tcW w:w="9355" w:type="dxa"/>
            <w:shd w:val="clear" w:color="auto" w:fill="auto"/>
          </w:tcPr>
          <w:p w:rsidR="00FF0454" w:rsidRDefault="00B64DA1">
            <w:pPr>
              <w:spacing w:after="0" w:line="240" w:lineRule="auto"/>
            </w:pPr>
            <w:r>
              <w:rPr>
                <w:rFonts w:ascii="Arial" w:eastAsia="Arial" w:hAnsi="Arial" w:cs="Arial"/>
                <w:sz w:val="20"/>
                <w:szCs w:val="20"/>
                <w:lang w:val="en-GB"/>
              </w:rPr>
              <w:t>Food and accommodation of the participants will be fully covered. Reimbursement of the travel tickets will be 100% up to the maximum amounts</w:t>
            </w:r>
            <w:r>
              <w:rPr>
                <w:lang w:val="en-GB"/>
              </w:rPr>
              <w:t xml:space="preserve"> </w:t>
            </w:r>
            <w:r>
              <w:rPr>
                <w:rFonts w:ascii="Arial" w:eastAsia="Arial" w:hAnsi="Arial" w:cs="Arial"/>
                <w:sz w:val="20"/>
                <w:szCs w:val="20"/>
                <w:lang w:val="en-GB"/>
              </w:rPr>
              <w:t>indicated in the rules of the Erasmus+ programme after the receipt of original documents (maximum travel reimbursement amounts: 100-499 km = 180 euro, 500-1999 km = 275 euro, 2000-2999 km = 360 euro</w:t>
            </w:r>
          </w:p>
        </w:tc>
      </w:tr>
      <w:tr w:rsidR="00FF0454">
        <w:tc>
          <w:tcPr>
            <w:tcW w:w="11198" w:type="dxa"/>
            <w:gridSpan w:val="2"/>
            <w:shd w:val="clear" w:color="auto" w:fill="E7E6E6" w:themeFill="background2"/>
          </w:tcPr>
          <w:p w:rsidR="00FF0454" w:rsidRDefault="00B64DA1">
            <w:pPr>
              <w:spacing w:after="0" w:line="240" w:lineRule="auto"/>
              <w:jc w:val="center"/>
              <w:rPr>
                <w:sz w:val="24"/>
              </w:rPr>
            </w:pPr>
            <w:r>
              <w:rPr>
                <w:b/>
                <w:bCs/>
                <w:sz w:val="24"/>
                <w:lang w:val="en-GB"/>
              </w:rPr>
              <w:lastRenderedPageBreak/>
              <w:t>Technical info about the funds</w:t>
            </w:r>
          </w:p>
        </w:tc>
      </w:tr>
      <w:tr w:rsidR="00FF0454">
        <w:tc>
          <w:tcPr>
            <w:tcW w:w="1843" w:type="dxa"/>
            <w:shd w:val="clear" w:color="auto" w:fill="auto"/>
          </w:tcPr>
          <w:p w:rsidR="00FF0454" w:rsidRDefault="00B64DA1">
            <w:pPr>
              <w:spacing w:after="0" w:line="240" w:lineRule="auto"/>
            </w:pPr>
            <w:r>
              <w:rPr>
                <w:b/>
                <w:bCs/>
                <w:color w:val="4F81BD"/>
                <w:lang w:val="en-GB"/>
              </w:rPr>
              <w:t>Donor</w:t>
            </w:r>
            <w:r>
              <w:rPr>
                <w:b/>
                <w:bCs/>
                <w:lang w:val="en-GB"/>
              </w:rPr>
              <w:t xml:space="preserve">: </w:t>
            </w:r>
          </w:p>
        </w:tc>
        <w:tc>
          <w:tcPr>
            <w:tcW w:w="9355" w:type="dxa"/>
            <w:shd w:val="clear" w:color="auto" w:fill="auto"/>
          </w:tcPr>
          <w:p w:rsidR="00FF0454" w:rsidRDefault="00B64DA1">
            <w:pPr>
              <w:spacing w:after="0" w:line="240" w:lineRule="auto"/>
            </w:pPr>
            <w:r>
              <w:rPr>
                <w:lang w:val="en-GB"/>
              </w:rPr>
              <w:t>EU German National Agency</w:t>
            </w:r>
          </w:p>
        </w:tc>
      </w:tr>
      <w:tr w:rsidR="00FF0454">
        <w:tc>
          <w:tcPr>
            <w:tcW w:w="1843" w:type="dxa"/>
            <w:shd w:val="clear" w:color="auto" w:fill="auto"/>
          </w:tcPr>
          <w:p w:rsidR="00FF0454" w:rsidRDefault="00B64DA1">
            <w:pPr>
              <w:spacing w:after="0" w:line="240" w:lineRule="auto"/>
            </w:pPr>
            <w:r>
              <w:rPr>
                <w:b/>
                <w:bCs/>
                <w:color w:val="4F81BD"/>
                <w:lang w:val="en-GB"/>
              </w:rPr>
              <w:t>Programme</w:t>
            </w:r>
            <w:r>
              <w:rPr>
                <w:b/>
                <w:bCs/>
                <w:lang w:val="en-GB"/>
              </w:rPr>
              <w:t xml:space="preserve">: </w:t>
            </w:r>
          </w:p>
        </w:tc>
        <w:tc>
          <w:tcPr>
            <w:tcW w:w="9355" w:type="dxa"/>
            <w:shd w:val="clear" w:color="auto" w:fill="auto"/>
          </w:tcPr>
          <w:p w:rsidR="00FF0454" w:rsidRDefault="00B64DA1">
            <w:pPr>
              <w:spacing w:after="0" w:line="240" w:lineRule="auto"/>
            </w:pPr>
            <w:r>
              <w:rPr>
                <w:lang w:val="en-GB"/>
              </w:rPr>
              <w:t>Erasmus+ KA1 Mobility for Youth Workers</w:t>
            </w:r>
          </w:p>
        </w:tc>
      </w:tr>
      <w:tr w:rsidR="00FF0454">
        <w:tc>
          <w:tcPr>
            <w:tcW w:w="1843" w:type="dxa"/>
            <w:shd w:val="clear" w:color="auto" w:fill="auto"/>
          </w:tcPr>
          <w:p w:rsidR="00FF0454" w:rsidRDefault="00B64DA1">
            <w:pPr>
              <w:spacing w:after="0" w:line="240" w:lineRule="auto"/>
            </w:pPr>
            <w:r>
              <w:rPr>
                <w:b/>
                <w:bCs/>
                <w:color w:val="4F81BD"/>
                <w:lang w:val="en-GB"/>
              </w:rPr>
              <w:t>Deadline for submission</w:t>
            </w:r>
            <w:r>
              <w:rPr>
                <w:lang w:val="en-GB"/>
              </w:rPr>
              <w:t xml:space="preserve">: </w:t>
            </w:r>
          </w:p>
        </w:tc>
        <w:tc>
          <w:tcPr>
            <w:tcW w:w="9355" w:type="dxa"/>
            <w:shd w:val="clear" w:color="auto" w:fill="auto"/>
          </w:tcPr>
          <w:p w:rsidR="00FF0454" w:rsidRDefault="00B64DA1">
            <w:pPr>
              <w:spacing w:after="0" w:line="240" w:lineRule="auto"/>
            </w:pPr>
            <w:r>
              <w:rPr>
                <w:lang w:val="en-GB"/>
              </w:rPr>
              <w:t xml:space="preserve"> April 30</w:t>
            </w:r>
            <w:r>
              <w:rPr>
                <w:vertAlign w:val="superscript"/>
                <w:lang w:val="en-GB"/>
              </w:rPr>
              <w:t>th</w:t>
            </w:r>
            <w:r>
              <w:rPr>
                <w:lang w:val="en-GB"/>
              </w:rPr>
              <w:t xml:space="preserve"> 2019</w:t>
            </w:r>
          </w:p>
        </w:tc>
      </w:tr>
      <w:tr w:rsidR="00FF0454">
        <w:tc>
          <w:tcPr>
            <w:tcW w:w="1843" w:type="dxa"/>
            <w:shd w:val="clear" w:color="auto" w:fill="auto"/>
          </w:tcPr>
          <w:p w:rsidR="00FF0454" w:rsidRDefault="00B64DA1">
            <w:pPr>
              <w:spacing w:after="0" w:line="240" w:lineRule="auto"/>
            </w:pPr>
            <w:r>
              <w:rPr>
                <w:b/>
                <w:bCs/>
                <w:color w:val="4F81BD"/>
                <w:lang w:val="en-GB"/>
              </w:rPr>
              <w:t>Reference</w:t>
            </w:r>
            <w:r>
              <w:rPr>
                <w:b/>
                <w:bCs/>
                <w:lang w:val="en-GB"/>
              </w:rPr>
              <w:t>:</w:t>
            </w:r>
            <w:r>
              <w:rPr>
                <w:lang w:val="en-GB"/>
              </w:rPr>
              <w:t xml:space="preserve">  </w:t>
            </w:r>
          </w:p>
        </w:tc>
        <w:tc>
          <w:tcPr>
            <w:tcW w:w="9355" w:type="dxa"/>
            <w:shd w:val="clear" w:color="auto" w:fill="auto"/>
          </w:tcPr>
          <w:p w:rsidR="00FF0454" w:rsidRDefault="00B64DA1">
            <w:pPr>
              <w:spacing w:after="0" w:line="240" w:lineRule="auto"/>
            </w:pPr>
            <w:r>
              <w:rPr>
                <w:lang w:val="en-GB"/>
              </w:rPr>
              <w:t xml:space="preserve"> </w:t>
            </w:r>
          </w:p>
        </w:tc>
      </w:tr>
      <w:tr w:rsidR="00FF0454">
        <w:tc>
          <w:tcPr>
            <w:tcW w:w="1843" w:type="dxa"/>
            <w:shd w:val="clear" w:color="auto" w:fill="auto"/>
          </w:tcPr>
          <w:p w:rsidR="00FF0454" w:rsidRDefault="00B64DA1">
            <w:pPr>
              <w:spacing w:after="0" w:line="240" w:lineRule="auto"/>
            </w:pPr>
            <w:r>
              <w:rPr>
                <w:b/>
                <w:bCs/>
                <w:color w:val="4F81BD"/>
                <w:lang w:val="en-GB"/>
              </w:rPr>
              <w:t>Eligibility</w:t>
            </w:r>
            <w:r>
              <w:rPr>
                <w:b/>
                <w:bCs/>
                <w:lang w:val="en-GB"/>
              </w:rPr>
              <w:t xml:space="preserve">: </w:t>
            </w:r>
          </w:p>
        </w:tc>
        <w:tc>
          <w:tcPr>
            <w:tcW w:w="9355" w:type="dxa"/>
            <w:shd w:val="clear" w:color="auto" w:fill="auto"/>
          </w:tcPr>
          <w:p w:rsidR="00FF0454" w:rsidRDefault="00B64DA1">
            <w:pPr>
              <w:spacing w:after="0" w:line="240" w:lineRule="auto"/>
            </w:pPr>
            <w:r>
              <w:rPr>
                <w:rFonts w:ascii="Arial" w:eastAsia="Arial" w:hAnsi="Arial" w:cs="Arial"/>
                <w:b/>
                <w:bCs/>
                <w:sz w:val="20"/>
                <w:szCs w:val="20"/>
                <w:lang w:val="en-GB"/>
              </w:rPr>
              <w:t>Programme Countries:</w:t>
            </w:r>
            <w:r>
              <w:rPr>
                <w:rFonts w:ascii="Arial" w:eastAsia="Arial" w:hAnsi="Arial" w:cs="Arial"/>
                <w:sz w:val="20"/>
                <w:szCs w:val="20"/>
                <w:lang w:val="en-GB"/>
              </w:rPr>
              <w:t xml:space="preserve"> Austria, Estonia, Italy, Portugal, Belgium, Finland, Latvia, Romania, Bulgaria, France, Lithuania, Slovak Republic, Croatia, Germany, Luxembourg, Slovenia, Greece, Spain, Czech Republic, Hungary, Netherlands, Sweden, Turkey, Norway, Denmark, Ireland, Poland, United Kingdom, Macedonia</w:t>
            </w:r>
          </w:p>
          <w:p w:rsidR="00FF0454" w:rsidRDefault="00FF0454">
            <w:pPr>
              <w:spacing w:after="0" w:line="240" w:lineRule="auto"/>
              <w:rPr>
                <w:rFonts w:ascii="Arial" w:eastAsia="Arial" w:hAnsi="Arial" w:cs="Arial"/>
                <w:b/>
                <w:sz w:val="20"/>
                <w:szCs w:val="20"/>
                <w:highlight w:val="white"/>
                <w:lang w:val="en-GB"/>
              </w:rPr>
            </w:pPr>
          </w:p>
          <w:p w:rsidR="00FF0454" w:rsidRDefault="00B64DA1">
            <w:pPr>
              <w:spacing w:after="0" w:line="240" w:lineRule="auto"/>
            </w:pPr>
            <w:r>
              <w:rPr>
                <w:rFonts w:ascii="Arial" w:eastAsia="Arial" w:hAnsi="Arial" w:cs="Arial"/>
                <w:b/>
                <w:sz w:val="20"/>
                <w:szCs w:val="20"/>
                <w:highlight w:val="white"/>
                <w:lang w:val="en-GB"/>
              </w:rPr>
              <w:t>Partner Countries:</w:t>
            </w:r>
            <w:r>
              <w:rPr>
                <w:rFonts w:ascii="Arial" w:eastAsia="Arial" w:hAnsi="Arial" w:cs="Arial"/>
                <w:sz w:val="20"/>
                <w:szCs w:val="20"/>
                <w:highlight w:val="white"/>
                <w:lang w:val="en-GB"/>
              </w:rPr>
              <w:t xml:space="preserve"> Albania, Bosnia and Herzegovina, Kosovo, Montenegro, Serbia, Russian Federation, Armenia, Azerbaijan, Belarus, Georgia, Moldova, Ukraine, Egypt, Libya, Algeria, Tunisia, Morocco, Israel, Palestine, Syria, Lebanon, Jordan</w:t>
            </w:r>
          </w:p>
        </w:tc>
      </w:tr>
      <w:tr w:rsidR="00FF0454">
        <w:tc>
          <w:tcPr>
            <w:tcW w:w="1843" w:type="dxa"/>
            <w:shd w:val="clear" w:color="auto" w:fill="auto"/>
          </w:tcPr>
          <w:p w:rsidR="00FF0454" w:rsidRDefault="00B64DA1">
            <w:pPr>
              <w:spacing w:after="0" w:line="240" w:lineRule="auto"/>
            </w:pPr>
            <w:r>
              <w:rPr>
                <w:b/>
                <w:bCs/>
                <w:color w:val="4F81BD"/>
                <w:lang w:val="en-GB"/>
              </w:rPr>
              <w:t>Contact person:</w:t>
            </w:r>
          </w:p>
        </w:tc>
        <w:tc>
          <w:tcPr>
            <w:tcW w:w="9355" w:type="dxa"/>
            <w:shd w:val="clear" w:color="auto" w:fill="auto"/>
          </w:tcPr>
          <w:p w:rsidR="00FF0454" w:rsidRDefault="00B64DA1">
            <w:pPr>
              <w:spacing w:after="0" w:line="240" w:lineRule="auto"/>
            </w:pPr>
            <w:r>
              <w:rPr>
                <w:b/>
                <w:bCs/>
                <w:lang w:val="en-GB"/>
              </w:rPr>
              <w:t xml:space="preserve">Please send your PIC number to </w:t>
            </w:r>
            <w:hyperlink r:id="rId10">
              <w:r>
                <w:rPr>
                  <w:rStyle w:val="Internetverknpfung"/>
                  <w:b/>
                  <w:bCs/>
                  <w:lang w:val="en-GB"/>
                </w:rPr>
                <w:t>john.myers@sci-d.de</w:t>
              </w:r>
            </w:hyperlink>
            <w:r>
              <w:rPr>
                <w:b/>
                <w:bCs/>
                <w:lang w:val="en-GB"/>
              </w:rPr>
              <w:t>, so we can generate the mandate that you need to sign</w:t>
            </w:r>
          </w:p>
        </w:tc>
      </w:tr>
    </w:tbl>
    <w:p w:rsidR="00FF0454" w:rsidRDefault="00FF0454"/>
    <w:sectPr w:rsidR="00FF0454">
      <w:headerReference w:type="default" r:id="rId11"/>
      <w:footerReference w:type="default" r:id="rId12"/>
      <w:pgSz w:w="12240" w:h="15840"/>
      <w:pgMar w:top="777" w:right="720" w:bottom="777" w:left="720" w:header="720" w:footer="72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000" w:rsidRDefault="00987000">
      <w:pPr>
        <w:spacing w:after="0" w:line="240" w:lineRule="auto"/>
      </w:pPr>
      <w:r>
        <w:separator/>
      </w:r>
    </w:p>
  </w:endnote>
  <w:endnote w:type="continuationSeparator" w:id="0">
    <w:p w:rsidR="00987000" w:rsidRDefault="00987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9" w:type="dxa"/>
      <w:tblLook w:val="04A0" w:firstRow="1" w:lastRow="0" w:firstColumn="1" w:lastColumn="0" w:noHBand="0" w:noVBand="1"/>
    </w:tblPr>
    <w:tblGrid>
      <w:gridCol w:w="3119"/>
      <w:gridCol w:w="3120"/>
      <w:gridCol w:w="3120"/>
    </w:tblGrid>
    <w:tr w:rsidR="00FF0454">
      <w:tc>
        <w:tcPr>
          <w:tcW w:w="3119" w:type="dxa"/>
          <w:shd w:val="clear" w:color="auto" w:fill="auto"/>
        </w:tcPr>
        <w:p w:rsidR="00FF0454" w:rsidRDefault="00FF0454">
          <w:pPr>
            <w:pStyle w:val="Kopfzeile"/>
            <w:ind w:left="-115"/>
          </w:pPr>
        </w:p>
      </w:tc>
      <w:tc>
        <w:tcPr>
          <w:tcW w:w="3120" w:type="dxa"/>
          <w:shd w:val="clear" w:color="auto" w:fill="auto"/>
        </w:tcPr>
        <w:p w:rsidR="00FF0454" w:rsidRDefault="00FF0454">
          <w:pPr>
            <w:pStyle w:val="Kopfzeile"/>
            <w:jc w:val="center"/>
          </w:pPr>
        </w:p>
      </w:tc>
      <w:tc>
        <w:tcPr>
          <w:tcW w:w="3120" w:type="dxa"/>
          <w:shd w:val="clear" w:color="auto" w:fill="auto"/>
        </w:tcPr>
        <w:p w:rsidR="00FF0454" w:rsidRDefault="00FF0454">
          <w:pPr>
            <w:pStyle w:val="Kopfzeile"/>
            <w:ind w:right="-115"/>
            <w:jc w:val="right"/>
          </w:pPr>
        </w:p>
      </w:tc>
    </w:tr>
  </w:tbl>
  <w:p w:rsidR="00FF0454" w:rsidRDefault="00FF045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000" w:rsidRDefault="00987000">
      <w:pPr>
        <w:spacing w:after="0" w:line="240" w:lineRule="auto"/>
      </w:pPr>
      <w:r>
        <w:separator/>
      </w:r>
    </w:p>
  </w:footnote>
  <w:footnote w:type="continuationSeparator" w:id="0">
    <w:p w:rsidR="00987000" w:rsidRDefault="00987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9" w:type="dxa"/>
      <w:tblLook w:val="04A0" w:firstRow="1" w:lastRow="0" w:firstColumn="1" w:lastColumn="0" w:noHBand="0" w:noVBand="1"/>
    </w:tblPr>
    <w:tblGrid>
      <w:gridCol w:w="3119"/>
      <w:gridCol w:w="3120"/>
      <w:gridCol w:w="3120"/>
    </w:tblGrid>
    <w:tr w:rsidR="00FF0454">
      <w:tc>
        <w:tcPr>
          <w:tcW w:w="3119" w:type="dxa"/>
          <w:shd w:val="clear" w:color="auto" w:fill="auto"/>
        </w:tcPr>
        <w:p w:rsidR="00FF0454" w:rsidRDefault="00FF0454">
          <w:pPr>
            <w:pStyle w:val="Kopfzeile"/>
            <w:ind w:left="-115"/>
          </w:pPr>
        </w:p>
      </w:tc>
      <w:tc>
        <w:tcPr>
          <w:tcW w:w="3120" w:type="dxa"/>
          <w:shd w:val="clear" w:color="auto" w:fill="auto"/>
        </w:tcPr>
        <w:p w:rsidR="00FF0454" w:rsidRDefault="00FF0454">
          <w:pPr>
            <w:pStyle w:val="Kopfzeile"/>
            <w:jc w:val="center"/>
          </w:pPr>
        </w:p>
      </w:tc>
      <w:tc>
        <w:tcPr>
          <w:tcW w:w="3120" w:type="dxa"/>
          <w:shd w:val="clear" w:color="auto" w:fill="auto"/>
        </w:tcPr>
        <w:p w:rsidR="00FF0454" w:rsidRDefault="00FF0454">
          <w:pPr>
            <w:pStyle w:val="Kopfzeile"/>
            <w:ind w:right="-115"/>
            <w:jc w:val="right"/>
          </w:pPr>
        </w:p>
      </w:tc>
    </w:tr>
  </w:tbl>
  <w:p w:rsidR="00FF0454" w:rsidRDefault="00FF045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0781"/>
    <w:multiLevelType w:val="multilevel"/>
    <w:tmpl w:val="41F477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BAC3E86"/>
    <w:multiLevelType w:val="multilevel"/>
    <w:tmpl w:val="AA64739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80646FA"/>
    <w:multiLevelType w:val="multilevel"/>
    <w:tmpl w:val="58540A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3643069"/>
    <w:multiLevelType w:val="multilevel"/>
    <w:tmpl w:val="CB5654A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E4C2C4F"/>
    <w:multiLevelType w:val="multilevel"/>
    <w:tmpl w:val="1182043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716B5CB7"/>
    <w:multiLevelType w:val="multilevel"/>
    <w:tmpl w:val="3CA0139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454"/>
    <w:rsid w:val="002A150B"/>
    <w:rsid w:val="008210BE"/>
    <w:rsid w:val="00865DE0"/>
    <w:rsid w:val="00987000"/>
    <w:rsid w:val="00AA7764"/>
    <w:rsid w:val="00B64DA1"/>
    <w:rsid w:val="00D37479"/>
    <w:rsid w:val="00FF0454"/>
  </w:rsids>
  <m:mathPr>
    <m:mathFont m:val="Cambria Math"/>
    <m:brkBin m:val="before"/>
    <m:brkBinSub m:val="--"/>
    <m:smallFrac m:val="0"/>
    <m:dispDef/>
    <m:lMargin m:val="0"/>
    <m:rMargin m:val="0"/>
    <m:defJc m:val="centerGroup"/>
    <m:wrapIndent m:val="1440"/>
    <m:intLim m:val="subSup"/>
    <m:naryLim m:val="undOvr"/>
  </m:mathPr>
  <w:themeFontLang w:val="en-US" w:eastAsia=""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Pr>
      <w:color w:val="0563C1" w:themeColor="hyperlink"/>
      <w:u w:val="single"/>
    </w:rPr>
  </w:style>
  <w:style w:type="character" w:customStyle="1" w:styleId="KopfzeileZchn">
    <w:name w:val="Kopfzeile Zchn"/>
    <w:basedOn w:val="Absatz-Standardschriftart"/>
    <w:link w:val="Kopfzeile"/>
    <w:uiPriority w:val="99"/>
    <w:qFormat/>
  </w:style>
  <w:style w:type="character" w:customStyle="1" w:styleId="FuzeileZchn">
    <w:name w:val="Fußzeile Zchn"/>
    <w:basedOn w:val="Absatz-Standardschriftart"/>
    <w:link w:val="Fuzeile"/>
    <w:uiPriority w:val="99"/>
    <w:qFormat/>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b/>
      <w:bCs/>
      <w:lang w:val="en-GB"/>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sz w:val="20"/>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sz w:val="20"/>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Arial" w:eastAsia="Arial" w:hAnsi="Arial" w:cs="Arial"/>
      <w:sz w:val="20"/>
      <w:szCs w:val="20"/>
      <w:lang w:val="en-GB"/>
    </w:rPr>
  </w:style>
  <w:style w:type="character" w:customStyle="1" w:styleId="ListLabel84">
    <w:name w:val="ListLabel 84"/>
    <w:qFormat/>
    <w:rPr>
      <w:rFonts w:ascii="Arial" w:eastAsia="Arial" w:hAnsi="Arial" w:cs="Arial"/>
      <w:sz w:val="20"/>
      <w:szCs w:val="20"/>
      <w:lang w:val="en-GB"/>
    </w:rPr>
  </w:style>
  <w:style w:type="character" w:customStyle="1" w:styleId="ListLabel85">
    <w:name w:val="ListLabel 85"/>
    <w:qFormat/>
    <w:rPr>
      <w:b/>
      <w:bCs/>
      <w:lang w:val="en-GB"/>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sz w:val="20"/>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ascii="Arial" w:eastAsia="Arial" w:hAnsi="Arial" w:cs="Arial"/>
      <w:sz w:val="20"/>
      <w:szCs w:val="20"/>
      <w:lang w:val="en-GB"/>
    </w:rPr>
  </w:style>
  <w:style w:type="character" w:customStyle="1" w:styleId="ListLabel132">
    <w:name w:val="ListLabel 132"/>
    <w:qFormat/>
    <w:rPr>
      <w:b/>
      <w:bCs/>
      <w:lang w:val="en-GB"/>
    </w:rPr>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qFormat/>
    <w:pPr>
      <w:suppressLineNumbers/>
    </w:pPr>
    <w:rPr>
      <w:rFonts w:cs="Lohit Devanagari"/>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680"/>
        <w:tab w:val="right" w:pos="9360"/>
      </w:tabs>
      <w:spacing w:after="0" w:line="240" w:lineRule="auto"/>
    </w:pPr>
  </w:style>
  <w:style w:type="paragraph" w:styleId="Fuzeile">
    <w:name w:val="footer"/>
    <w:basedOn w:val="Standard"/>
    <w:link w:val="FuzeileZchn"/>
    <w:uiPriority w:val="99"/>
    <w:unhideWhenUsed/>
    <w:pPr>
      <w:tabs>
        <w:tab w:val="center" w:pos="4680"/>
        <w:tab w:val="right" w:pos="9360"/>
      </w:tabs>
      <w:spacing w:after="0" w:line="240" w:lineRule="auto"/>
    </w:pPr>
  </w:style>
  <w:style w:type="paragraph" w:customStyle="1" w:styleId="Tabelleninhalt">
    <w:name w:val="Tabelleninhalt"/>
    <w:basedOn w:val="Standard"/>
    <w:qFormat/>
    <w:pPr>
      <w:suppressLineNumbers/>
    </w:p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Pr>
      <w:color w:val="0563C1" w:themeColor="hyperlink"/>
      <w:u w:val="single"/>
    </w:rPr>
  </w:style>
  <w:style w:type="character" w:customStyle="1" w:styleId="KopfzeileZchn">
    <w:name w:val="Kopfzeile Zchn"/>
    <w:basedOn w:val="Absatz-Standardschriftart"/>
    <w:link w:val="Kopfzeile"/>
    <w:uiPriority w:val="99"/>
    <w:qFormat/>
  </w:style>
  <w:style w:type="character" w:customStyle="1" w:styleId="FuzeileZchn">
    <w:name w:val="Fußzeile Zchn"/>
    <w:basedOn w:val="Absatz-Standardschriftart"/>
    <w:link w:val="Fuzeile"/>
    <w:uiPriority w:val="99"/>
    <w:qFormat/>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b/>
      <w:bCs/>
      <w:lang w:val="en-GB"/>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sz w:val="20"/>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sz w:val="20"/>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Arial" w:eastAsia="Arial" w:hAnsi="Arial" w:cs="Arial"/>
      <w:sz w:val="20"/>
      <w:szCs w:val="20"/>
      <w:lang w:val="en-GB"/>
    </w:rPr>
  </w:style>
  <w:style w:type="character" w:customStyle="1" w:styleId="ListLabel84">
    <w:name w:val="ListLabel 84"/>
    <w:qFormat/>
    <w:rPr>
      <w:rFonts w:ascii="Arial" w:eastAsia="Arial" w:hAnsi="Arial" w:cs="Arial"/>
      <w:sz w:val="20"/>
      <w:szCs w:val="20"/>
      <w:lang w:val="en-GB"/>
    </w:rPr>
  </w:style>
  <w:style w:type="character" w:customStyle="1" w:styleId="ListLabel85">
    <w:name w:val="ListLabel 85"/>
    <w:qFormat/>
    <w:rPr>
      <w:b/>
      <w:bCs/>
      <w:lang w:val="en-GB"/>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sz w:val="20"/>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ascii="Arial" w:eastAsia="Arial" w:hAnsi="Arial" w:cs="Arial"/>
      <w:sz w:val="20"/>
      <w:szCs w:val="20"/>
      <w:lang w:val="en-GB"/>
    </w:rPr>
  </w:style>
  <w:style w:type="character" w:customStyle="1" w:styleId="ListLabel132">
    <w:name w:val="ListLabel 132"/>
    <w:qFormat/>
    <w:rPr>
      <w:b/>
      <w:bCs/>
      <w:lang w:val="en-GB"/>
    </w:rPr>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qFormat/>
    <w:pPr>
      <w:suppressLineNumbers/>
    </w:pPr>
    <w:rPr>
      <w:rFonts w:cs="Lohit Devanagari"/>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680"/>
        <w:tab w:val="right" w:pos="9360"/>
      </w:tabs>
      <w:spacing w:after="0" w:line="240" w:lineRule="auto"/>
    </w:pPr>
  </w:style>
  <w:style w:type="paragraph" w:styleId="Fuzeile">
    <w:name w:val="footer"/>
    <w:basedOn w:val="Standard"/>
    <w:link w:val="FuzeileZchn"/>
    <w:uiPriority w:val="99"/>
    <w:unhideWhenUsed/>
    <w:pPr>
      <w:tabs>
        <w:tab w:val="center" w:pos="4680"/>
        <w:tab w:val="right" w:pos="9360"/>
      </w:tabs>
      <w:spacing w:after="0" w:line="240" w:lineRule="auto"/>
    </w:pPr>
  </w:style>
  <w:style w:type="paragraph" w:customStyle="1" w:styleId="Tabelleninhalt">
    <w:name w:val="Tabelleninhalt"/>
    <w:basedOn w:val="Standard"/>
    <w:qFormat/>
    <w:pPr>
      <w:suppressLineNumbers/>
    </w:p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ohn.myers@sci-d.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F9809-4A85-4A41-9E66-24A32CD17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3845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Jakob</dc:creator>
  <cp:lastModifiedBy>sci</cp:lastModifiedBy>
  <cp:revision>4</cp:revision>
  <dcterms:created xsi:type="dcterms:W3CDTF">2019-04-02T15:49:00Z</dcterms:created>
  <dcterms:modified xsi:type="dcterms:W3CDTF">2019-04-04T13:01:00Z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